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rFonts w:ascii="PT Astra Serif" w:hAnsi="PT Astra Serif"/>
          <w:b/>
          <w:i w:val="false"/>
          <w:caps w:val="false"/>
          <w:smallCaps w:val="false"/>
          <w:color w:val="111111"/>
          <w:spacing w:val="0"/>
          <w:sz w:val="26"/>
          <w:szCs w:val="26"/>
          <w:highlight w:val="white"/>
          <w:lang w:val="en-US"/>
        </w:rPr>
        <w:t>Категории граждан, имеющие право на получение бесплатной юридической помощи: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2"/>
          <w:szCs w:val="22"/>
        </w:rPr>
        <w:tab/>
      </w: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2) инвалиды I и II группы;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   п. 6 ст. 1 Федерального закона от 31.05.1996 № 61-ФЗ «Об обороне», при условии их участия в специальной 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 (для целей настоящего Закона к членам семей указанных в настоящем пункте категорий граждан относятся супруга (супруг), родители (усыновители), дети, в том числе усыновленные, приемные и находящиеся под опекой (попечительством) гражданина или его супруги (супруга));</w:t>
      </w:r>
    </w:p>
    <w:p>
      <w:pPr>
        <w:pStyle w:val="Normal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color w:val="111111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 xml:space="preserve"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</w:t>
      </w:r>
      <w:r>
        <w:rPr>
          <w:rFonts w:ascii="PT Astra Serif" w:hAnsi="PT Astra Serif"/>
          <w:b w:val="false"/>
          <w:color w:val="111111"/>
          <w:sz w:val="20"/>
          <w:szCs w:val="20"/>
        </w:rPr>
        <w:t>или войска национальной гвардии Российской Федерации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  при  условии их участия в специальной военной операции на указанных территориях, а также члены семей указанных граждан; (для целей настоящего Закона к членам семей указанных в настоящем пункте категорий граждан относятся супруга (супруг), родители (усыновители), дети, в том числе усыновленные, приемные и находящиеся под опекой (попечительством) гражданина или его супруги (супруга))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color w:val="111111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   Донецкой   Народной    Республики,    Народной    милиции    Луганской Народной   Республики,   воинских    формирований    и    органов    Донецкой Народной Республики и Луганской Народной Республики начиная с 11.05.2014, а также члены семей указанных лиц (для целей настоящего Закона к членам семей указанной в настоящем пункте категории лиц относятся супруга (супруг), родители (усыновители), дети, в том числе усыновленные, приемные и находящиеся под опекой (попечительством) гражданина или его супруги (супруга));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7) граждане, имеющие право на бесплатную юридическую помощь в соответствии с Законом Российской Федерации от 02.07.1992 № 3185-1 «О психиатрической помощи и гарантиях прав граждан при ее оказании»;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8.1) граждане, пострадавшие в результате чрезвычайной ситуации: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б) дети погибшего (умершего) в результате чрезвычайной ситуации;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в) родители погибшего (умершего) в результате чрезвычайной ситуации;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г) лица, находившиеся на полном  содержании  погибшего  (умершего)  в 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д) граждане, здоровью которых причинен вред в результате чрезвычайной ситуации;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9) граждан, имеющих право на получение мер социальной поддержки в соответствии с главами 4 и 5 Закона Рязанской области от 21.12.2016 № 91-ОЗ «О мерах социальной поддержки населения Рязанской области»;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10) одинокие родители;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11) ветераны боевых действий;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12) беременные женщины;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13) граждане, имеющие детей в возрасте до трех лет.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14) родители, ограниченные в родительских правах или лишенные родительских прав, если они обращаются за оказанием бесплатной юридической помощи по вопросам, связанным с отменой ограничения родительских прав или восстановлением в родительских правах</w:t>
      </w:r>
    </w:p>
    <w:p>
      <w:pPr>
        <w:pStyle w:val="Normal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Дополнительно в соответствии с Законом Рязанской области от 16.07.2024 N 49-ОЗ «О внесении изменений в отдельные законодательные акты Рязанской области»</w:t>
      </w:r>
      <w:r>
        <w:rPr>
          <w:rFonts w:ascii="PT Astra Serif" w:hAnsi="PT Astra Serif"/>
          <w:color w:val="111111"/>
          <w:sz w:val="20"/>
          <w:szCs w:val="20"/>
        </w:rPr>
        <w:t xml:space="preserve">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 xml:space="preserve"> государственное юридическое бюро оказывают бесплатную юридическую помощь: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- гражданам, которым присвоено звание «Ветеран труда Рязанской области»;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- гражданам, признанным в установленном порядке безработными;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- неработающим трудоспособным лицам, осуществляющим уход за инвалидом I группы, а также за престарелым, нуждающимся по заключению лечебного учреждения в постоянном постороннем уходе либо достигшим возраста 80 лет, и получающим ежемесячные компенсационные выплаты в соответствии с Указом Президента Российской Федерации от 26.12.2006        № 1455 «О компенсационных выплатах лицам, осуществляющим уход за нетрудоспособными гражданами" либо ежемесячные выплаты в соответствии с    Указом    Президента    Российской    Федерации    от   26.02.2013   №   175 «О ежемесячных выплатах лицам, осуществляющим уход за детьми-инвалидами и инвалидами с детства I группы»;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- гражданам  Российской  Федерации,  получившим  ранение   (контузию, травму, увечье) 15.10.2022 года на полигоне «Северный» Белгородской области и членам их семей.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color w:val="111111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 xml:space="preserve">- </w:t>
      </w:r>
      <w:r>
        <w:rPr>
          <w:rFonts w:ascii="PT Astra Serif" w:hAnsi="PT Astra Serif"/>
          <w:b w:val="false"/>
          <w:color w:val="111111"/>
          <w:sz w:val="20"/>
          <w:szCs w:val="20"/>
        </w:rPr>
        <w:t>граждане, подвергшиеся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Теча, ядерных испытаний на Семипалатинском полигоне, граждане из подразделений особого риска.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Для целей настоящего Закона к членам семьи гражданина Российской Федерации, получившего ранение (контузию, травму, увечье) 15 октября 2022 года на полигоне «Северный» Белгородской области, относится его супруга (супруг), родители, дети, в том числе усыновленные, приемные и находящиеся под опекой (попечительством) гражданина или его супруги (супруга)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2"/>
          <w:szCs w:val="22"/>
        </w:rPr>
        <w:t>.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center"/>
        <w:rPr>
          <w:rFonts w:ascii="PT Astra Serif" w:hAnsi="PT Astra Serif"/>
          <w:sz w:val="20"/>
          <w:szCs w:val="20"/>
          <w:highlight w:val="white"/>
        </w:rPr>
      </w:pPr>
      <w:r>
        <w:rPr>
          <w:rFonts w:ascii="PT Astra Serif" w:hAnsi="PT Astra Serif"/>
          <w:sz w:val="20"/>
          <w:szCs w:val="20"/>
          <w:highlight w:val="white"/>
        </w:rPr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center"/>
        <w:rPr>
          <w:rFonts w:ascii="PT Astra Serif" w:hAnsi="PT Astra Serif"/>
          <w:sz w:val="20"/>
          <w:szCs w:val="20"/>
          <w:highlight w:val="white"/>
        </w:rPr>
      </w:pPr>
      <w:r>
        <w:rPr>
          <w:rFonts w:ascii="PT Astra Serif" w:hAnsi="PT Astra Serif"/>
          <w:sz w:val="20"/>
          <w:szCs w:val="20"/>
          <w:highlight w:val="white"/>
        </w:rPr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center"/>
        <w:rPr>
          <w:rFonts w:ascii="PT Astra Serif" w:hAnsi="PT Astra Serif"/>
          <w:b/>
          <w:b/>
          <w:i w:val="false"/>
          <w:i w:val="false"/>
          <w:caps w:val="false"/>
          <w:smallCaps w:val="false"/>
          <w:color w:val="111111"/>
          <w:spacing w:val="0"/>
          <w:sz w:val="26"/>
          <w:szCs w:val="26"/>
          <w:highlight w:val="white"/>
        </w:rPr>
      </w:pPr>
      <w:r>
        <w:rPr>
          <w:rFonts w:ascii="PT Astra Serif" w:hAnsi="PT Astra Serif"/>
          <w:b/>
          <w:i w:val="false"/>
          <w:caps w:val="false"/>
          <w:smallCaps w:val="false"/>
          <w:color w:val="111111"/>
          <w:spacing w:val="0"/>
          <w:sz w:val="26"/>
          <w:szCs w:val="26"/>
          <w:highlight w:val="white"/>
        </w:rPr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center"/>
        <w:rPr>
          <w:rFonts w:ascii="PT Astra Serif" w:hAnsi="PT Astra Serif"/>
          <w:b/>
          <w:b/>
          <w:i w:val="false"/>
          <w:i w:val="false"/>
          <w:caps w:val="false"/>
          <w:smallCaps w:val="false"/>
          <w:color w:val="111111"/>
          <w:spacing w:val="0"/>
          <w:sz w:val="26"/>
          <w:szCs w:val="26"/>
          <w:highlight w:val="white"/>
        </w:rPr>
      </w:pPr>
      <w:r>
        <w:rPr>
          <w:rFonts w:ascii="PT Astra Serif" w:hAnsi="PT Astra Serif"/>
          <w:b/>
          <w:i w:val="false"/>
          <w:caps w:val="false"/>
          <w:smallCaps w:val="false"/>
          <w:color w:val="111111"/>
          <w:spacing w:val="0"/>
          <w:sz w:val="26"/>
          <w:szCs w:val="26"/>
          <w:highlight w:val="white"/>
        </w:rPr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center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0"/>
          <w:szCs w:val="20"/>
          <w:highlight w:val="white"/>
        </w:rPr>
      </w:pPr>
      <w:r>
        <w:rPr/>
      </w:r>
    </w:p>
    <w:sectPr>
      <w:type w:val="nextPage"/>
      <w:pgSz w:w="11906" w:h="16838"/>
      <w:pgMar w:left="737" w:right="737" w:gutter="0" w:header="0" w:top="737" w:footer="0" w:bottom="73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515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Times New Roman" w:hAnsi="Times New Roman"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Mangal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Application>LibreOffice/7.4.1.2$Windows_X86_64 LibreOffice_project/3c58a8f3a960df8bc8fd77b461821e42c061c5f0</Application>
  <AppVersion>15.0000</AppVersion>
  <Pages>2</Pages>
  <Words>1185</Words>
  <Characters>8318</Characters>
  <CharactersWithSpaces>9577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2018-03-02T05:43:00Z</dcterms:created>
  <dc:creator>larisa.toporkova</dc:creator>
  <dc:description/>
  <dc:language>ru-RU</dc:language>
  <cp:lastModifiedBy/>
  <dcterms:modified xsi:type="dcterms:W3CDTF">2025-09-25T13:49:30Z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